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Heading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itle"/>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Orientador (a): Prof. Dr.  Luiz Batista Alves</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Heading4"/>
        <w:widowControl w:val="false"/>
        <w:ind w:left="0" w:hanging="0"/>
        <w:rPr/>
      </w:pPr>
      <w:r>
        <w:rPr/>
      </w:r>
    </w:p>
    <w:p>
      <w:pPr>
        <w:pStyle w:val="Normal"/>
        <w:rPr/>
      </w:pPr>
      <w:r>
        <w:rPr/>
      </w:r>
    </w:p>
    <w:p>
      <w:pPr>
        <w:pStyle w:val="Heading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A dinâmica macroeconômica do Brasil Império, da independência em 1822 até a proclamação da República em 1889, foi delineada por dois quesitos fundamentais: em primeiro, o fator trabalho empregado na produção composto na sua quase totalidade por m</w:t>
      </w:r>
      <w:r>
        <w:rPr>
          <w:rFonts w:eastAsia="Times New Roman" w:cs="Times New Roman"/>
          <w:b w:val="false"/>
          <w:bCs w:val="false"/>
          <w:color w:val="000000"/>
          <w:kern w:val="0"/>
          <w:sz w:val="24"/>
          <w:szCs w:val="24"/>
          <w:lang w:val="pt-BR" w:eastAsia="pt-BR" w:bidi="ar-SA"/>
        </w:rPr>
        <w:t>ão</w:t>
      </w:r>
      <w:r>
        <w:rPr>
          <w:b w:val="false"/>
          <w:bCs w:val="false"/>
          <w:color w:val="000000"/>
          <w:sz w:val="24"/>
          <w:szCs w:val="24"/>
        </w:rPr>
        <w:t xml:space="preserve">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no patamar de  9,9% do total de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a modelagem estatística, busca-se evidenciar a ocorrência ou não de quebras estruturais nas exportações de café no período datado como a extinção do tráfico transatlântico, isto é, no “ponto de pré-transição” para o trabalho assalariado em larga escala. </w:t>
      </w:r>
      <w:r>
        <w:rPr>
          <w:b w:val="false"/>
          <w:bCs w:val="false"/>
          <w:color w:val="C9211E"/>
          <w:sz w:val="24"/>
          <w:szCs w:val="24"/>
        </w:rPr>
        <w:t>Ou seja, c</w:t>
      </w:r>
      <w:r>
        <w:rPr>
          <w:rFonts w:eastAsia="Times New Roman" w:cs="Times New Roman"/>
          <w:b w:val="false"/>
          <w:bCs w:val="false"/>
          <w:i w:val="false"/>
          <w:caps w:val="false"/>
          <w:smallCaps w:val="false"/>
          <w:strike w:val="false"/>
          <w:dstrike w:val="false"/>
          <w:color w:val="C9211E"/>
          <w:kern w:val="0"/>
          <w:position w:val="0"/>
          <w:sz w:val="24"/>
          <w:sz w:val="24"/>
          <w:szCs w:val="24"/>
          <w:highlight w:val="white"/>
          <w:u w:val="none"/>
          <w:effect w:val="none"/>
          <w:vertAlign w:val="baseline"/>
          <w:lang w:val="pt-BR" w:eastAsia="pt-BR" w:bidi="ar-SA"/>
        </w:rPr>
        <w:t xml:space="preserve">om o objetivo de verificar a existência ou não de quebras nas exportações de café com a mudança institucional provocada com a Lei Eusébio de Queiroz. Em outras palavras: ocorreu em meados de 1850 uma quebra estrutural nas exportações de café com o fim da importação de mão de obra escrava? </w:t>
      </w:r>
    </w:p>
    <w:p>
      <w:pPr>
        <w:pStyle w:val="Normal"/>
        <w:spacing w:lineRule="auto" w:line="360" w:before="0" w:after="0"/>
        <w:ind w:left="0" w:right="0" w:hanging="0"/>
        <w:contextualSpacing/>
        <w:jc w:val="both"/>
        <w:rPr/>
      </w:pPr>
      <w:r>
        <w:rPr>
          <w:b w:val="false"/>
          <w:bCs w:val="false"/>
          <w:color w:val="000000"/>
          <w:sz w:val="24"/>
          <w:szCs w:val="24"/>
        </w:rPr>
        <w:tab/>
        <w:t xml:space="preserve">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rFonts w:ascii="Times new Roman" w:hAnsi="Times new Roman"/>
        </w:rPr>
      </w:pPr>
      <w:r>
        <w:rPr>
          <w:rFonts w:ascii="Times new Roman" w:hAnsi="Times new Roman"/>
          <w:b w:val="false"/>
          <w:bCs w:val="false"/>
          <w:color w:val="000000"/>
          <w:sz w:val="24"/>
          <w:szCs w:val="24"/>
        </w:rPr>
        <w:t>Como Hegel (2001, p.45) coloca de forma um tanto quanto poética: “O historiador junta o curso fugaz dos acontecimentos e o deposita para a imortalidade de Mnemósina”. Esse nome excêntrico citado por Hegel, Mnemósina (</w:t>
      </w:r>
      <w:r>
        <w:rPr>
          <w:rFonts w:ascii="Times new Roman" w:hAnsi="Times new Roman"/>
          <w:b w:val="false"/>
          <w:bCs w:val="false"/>
          <w:i w:val="false"/>
          <w:caps w:val="false"/>
          <w:smallCaps w:val="false"/>
          <w:color w:val="000000"/>
          <w:spacing w:val="0"/>
          <w:sz w:val="21"/>
          <w:szCs w:val="24"/>
          <w:lang w:val="el-GR"/>
        </w:rPr>
        <w:t xml:space="preserve">Μνημοσύνη), </w:t>
      </w:r>
      <w:r>
        <w:rPr>
          <w:rFonts w:ascii="Times new Roman" w:hAnsi="Times new Roman"/>
          <w:b w:val="false"/>
          <w:bCs w:val="false"/>
          <w:color w:val="000000"/>
          <w:sz w:val="24"/>
          <w:szCs w:val="24"/>
        </w:rPr>
        <w:t xml:space="preserve">representa uma titânide da mitologia grega que personificava a memória. O historiador </w:t>
      </w:r>
      <w:r>
        <w:rPr>
          <w:rFonts w:eastAsia="Times New Roman" w:cs="Times New Roman" w:ascii="Times new Roman" w:hAnsi="Times new Roman"/>
          <w:b w:val="false"/>
          <w:bCs w:val="false"/>
          <w:color w:val="000000"/>
          <w:kern w:val="0"/>
          <w:sz w:val="24"/>
          <w:szCs w:val="24"/>
          <w:lang w:val="pt-BR" w:eastAsia="pt-BR" w:bidi="ar-SA"/>
        </w:rPr>
        <w:t>é</w:t>
      </w:r>
      <w:r>
        <w:rPr>
          <w:rFonts w:ascii="Times new Roman" w:hAnsi="Times new Roman"/>
          <w:b w:val="false"/>
          <w:bCs w:val="false"/>
          <w:color w:val="000000"/>
          <w:sz w:val="24"/>
          <w:szCs w:val="24"/>
        </w:rPr>
        <w:t xml:space="preserve">, </w:t>
      </w:r>
      <w:r>
        <w:rPr>
          <w:rFonts w:eastAsia="Times New Roman" w:cs="Times New Roman" w:ascii="Times new Roman" w:hAnsi="Times new Roman"/>
          <w:b w:val="false"/>
          <w:bCs w:val="false"/>
          <w:color w:val="000000"/>
          <w:kern w:val="0"/>
          <w:sz w:val="24"/>
          <w:szCs w:val="24"/>
          <w:lang w:val="pt-BR" w:eastAsia="pt-BR" w:bidi="ar-SA"/>
        </w:rPr>
        <w:t>assim</w:t>
      </w:r>
      <w:r>
        <w:rPr>
          <w:rFonts w:ascii="Times new Roman" w:hAnsi="Times new Roman"/>
          <w:b w:val="false"/>
          <w:bCs w:val="false"/>
          <w:color w:val="000000"/>
          <w:sz w:val="24"/>
          <w:szCs w:val="24"/>
        </w:rPr>
        <w:t xml:space="preserve">, o personagem que faz o translado dos acontecimentos para o registro historiográfico. </w:t>
      </w:r>
      <w:r>
        <w:rPr>
          <w:rFonts w:eastAsia="Times New Roman" w:cs="Times New Roman" w:ascii="Times new Roman" w:hAnsi="Times new Roman"/>
          <w:color w:val="auto"/>
          <w:kern w:val="0"/>
          <w:sz w:val="24"/>
          <w:szCs w:val="24"/>
          <w:lang w:val="pt-BR" w:eastAsia="pt-BR" w:bidi="ar-SA"/>
        </w:rPr>
        <w:t>Portanto</w:t>
      </w:r>
      <w:r>
        <w:rPr>
          <w:rFonts w:eastAsia="Times New Roman" w:cs="Times New Roman" w:ascii="Times new Roman" w:hAnsi="Times new Roman"/>
          <w:b w:val="false"/>
          <w:bCs w:val="false"/>
          <w:color w:val="000000"/>
          <w:kern w:val="0"/>
          <w:sz w:val="24"/>
          <w:szCs w:val="24"/>
          <w:lang w:val="pt-BR" w:eastAsia="pt-BR" w:bidi="ar-SA"/>
        </w:rPr>
        <w:t>, em qualquer</w:t>
      </w:r>
      <w:r>
        <w:rPr>
          <w:rFonts w:ascii="Times new Roman" w:hAnsi="Times new Roman"/>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FootnoteAnchor"/>
          <w:rFonts w:ascii="Times new Roman" w:hAnsi="Times new Roman"/>
          <w:b w:val="false"/>
          <w:bCs w:val="false"/>
          <w:color w:val="000000"/>
          <w:sz w:val="24"/>
          <w:szCs w:val="24"/>
        </w:rPr>
        <w:footnoteReference w:id="2"/>
      </w:r>
      <w:r>
        <w:rPr>
          <w:rFonts w:ascii="Times new Roman" w:hAnsi="Times new Roman"/>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rFonts w:ascii="Times new Roman" w:hAnsi="Times new Roman"/>
        </w:rPr>
      </w:pPr>
      <w:r>
        <w:rPr>
          <w:rFonts w:ascii="Times new Roman" w:hAnsi="Times new Roman"/>
          <w:b w:val="false"/>
          <w:bCs w:val="false"/>
          <w:color w:val="000000"/>
          <w:sz w:val="24"/>
          <w:szCs w:val="24"/>
        </w:rPr>
        <w:tab/>
      </w:r>
      <w:r>
        <w:rPr>
          <w:rFonts w:ascii="Times new Roman" w:hAnsi="Times new Roman"/>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suppressAutoHyphens w:val="true"/>
        <w:overflowPunct w:val="fals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FootnoteAnchor"/>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FootnoteAnchor"/>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FootnoteAnchor"/>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FootnoteAnchor"/>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FootnoteAnchor"/>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fals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FootnoteAnchor"/>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FootnoteAnchor"/>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FootnoteAnchor"/>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FootnoteAnchor"/>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interno e o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FootnoteAncho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FootnoteAnchor"/>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fals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fals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FootnoteAnchor"/>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FootnoteAnchor"/>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FootnoteAnchor"/>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FootnoteAnchor"/>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FootnoteAnchor"/>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FootnoteAncho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próximos dos 50%, com exceção do último decênio do século, fechando o ano de 1900 com os incríveis 76.35% de participação na produção mundial (ver gráfico 4). Ou seja,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FootnoteAnchor"/>
          <w:b w:val="false"/>
          <w:i w:val="false"/>
          <w:caps w:val="false"/>
          <w:smallCaps w:val="false"/>
          <w:strike w:val="false"/>
          <w:dstrike w:val="false"/>
          <w:color w:val="000000"/>
          <w:sz w:val="24"/>
          <w:szCs w:val="24"/>
          <w:highlight w:val="white"/>
          <w:u w:val="none"/>
          <w:effect w:val="none"/>
        </w:rPr>
        <w:footnoteReference w:id="20"/>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estatística.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C9211E"/>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FootnoteAnchor"/>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FootnoteAnchor"/>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FootnoteAnchor"/>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exposição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w:t>
      </w:r>
      <w:r>
        <w:rPr>
          <w:rFonts w:eastAsia="Times New Roman" w:cs="Times New Roman"/>
          <w:b w:val="false"/>
          <w:bCs w:val="false"/>
          <w:i/>
          <w:iCs/>
          <w:color w:val="auto"/>
          <w:kern w:val="0"/>
          <w:sz w:val="24"/>
          <w:szCs w:val="24"/>
          <w:lang w:val="pt-BR" w:eastAsia="pt-BR" w:bidi="ar-SA"/>
        </w:rPr>
        <w:t>r</w:t>
      </w:r>
      <w:r>
        <w:rPr>
          <w:rFonts w:eastAsia="Times New Roman" w:cs="Times New Roman"/>
          <w:b w:val="false"/>
          <w:bCs w:val="false"/>
          <w:color w:val="auto"/>
          <w:kern w:val="0"/>
          <w:sz w:val="24"/>
          <w:szCs w:val="24"/>
          <w:lang w:val="pt-BR" w:eastAsia="pt-BR" w:bidi="ar-SA"/>
        </w:rPr>
        <w:t xml:space="preserve"> na formulação retorna a relação de associação linear que varia de 1 a -1, isto é, a relação direcional positiva ou negativa entre variáveis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de forma compactada: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oneroso e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de número 50. Sob esse cenário o teste de Chow subdivide-se: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dos subperíodos,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 xml:space="preserve">Os dados utilizados no presente trabalho são de diversos banco de dados públicos. Na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rFonts w:eastAsia="Times New Roman" w:cs="Times New Roman"/>
          <w:b w:val="false"/>
          <w:bCs w:val="false"/>
          <w:color w:val="auto"/>
          <w:kern w:val="0"/>
          <w:lang w:val="pt-BR" w:eastAsia="pt-BR" w:bidi="ar-SA"/>
        </w:rPr>
        <w:drawing>
          <wp:anchor behindDoc="0" distT="0" distB="0" distL="0" distR="0" simplePos="0" locked="0" layoutInCell="0" allowOverlap="1" relativeHeight="22">
            <wp:simplePos x="0" y="0"/>
            <wp:positionH relativeFrom="column">
              <wp:posOffset>351155</wp:posOffset>
            </wp:positionH>
            <wp:positionV relativeFrom="paragraph">
              <wp:posOffset>-85090</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Como mencionado nas secç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ões anteriores, a presente pesquisa norteia como objetivo central analisar os efeitos nas exportações de café do fim da importação de mão de obra escrava com a Lei Eusébio de Queiroz.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Assim, definindo a data de quebra, o próximo passo é especificar um modelo para as exportações de café. Pois bem, com base na teoria econômica pode-se especificar um modelo convencional de regressão linear múltipla: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3429000" cy="62865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3429000" cy="62865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FootnoteAnchor"/>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4"/>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levando em consideração o contexto do século XIX</w:t>
      </w:r>
      <w:r>
        <w:rPr>
          <w:rStyle w:val="FootnoteAncho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4">
            <wp:simplePos x="0" y="0"/>
            <wp:positionH relativeFrom="column">
              <wp:posOffset>459740</wp:posOffset>
            </wp:positionH>
            <wp:positionV relativeFrom="paragraph">
              <wp:posOffset>635</wp:posOffset>
            </wp:positionV>
            <wp:extent cx="4726305" cy="980440"/>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0"/>
                    <a:stretch>
                      <a:fillRect/>
                    </a:stretch>
                  </pic:blipFill>
                  <pic:spPr bwMode="auto">
                    <a:xfrm>
                      <a:off x="0" y="0"/>
                      <a:ext cx="4726305" cy="980440"/>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An</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álise exploratória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Antes de expor os resultados da estimação dos modelos, no gráfico 9 pode-se visualizar a relação entre o log das exportações de café e o log do preço médio do café, ou seja, a elasticidade entre demanda externa por caf</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 com relação ao preço.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bem definida. Por exemplo, observe que nos pontos pertencentes ao período de 1821 a 1830 (antes da lei Feijó) há outliers e, por sua vez, indicando uma relação inversa. Ou seja, indicando outra evidência para mudança nos parâmetros. </w:t>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1"/>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com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 ao do l</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og do preço médio do café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2"/>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Tabela 2 – Modelo log-log</w:t>
      </w:r>
    </w:p>
    <w:p>
      <w:pPr>
        <w:pStyle w:val="Normal"/>
        <w:widowControl/>
        <w:suppressAutoHyphens w:val="true"/>
        <w:overflowPunct w:val="false"/>
        <w:bidi w:val="0"/>
        <w:spacing w:lineRule="auto" w:line="360" w:before="0" w:after="0"/>
        <w:ind w:left="0" w:right="0" w:hanging="0"/>
        <w:jc w:val="left"/>
        <w:rPr>
          <w:sz w:val="20"/>
          <w:szCs w:val="20"/>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3"/>
                    <a:stretch>
                      <a:fillRect/>
                    </a:stretch>
                  </pic:blipFill>
                  <pic:spPr bwMode="auto">
                    <a:xfrm>
                      <a:off x="0" y="0"/>
                      <a:ext cx="5760085" cy="3665855"/>
                    </a:xfrm>
                    <a:prstGeom prst="rect">
                      <a:avLst/>
                    </a:prstGeom>
                  </pic:spPr>
                </pic:pic>
              </a:graphicData>
            </a:graphic>
          </wp:anchor>
        </w:drawing>
      </w:r>
      <w:r>
        <w:rPr>
          <w:sz w:val="20"/>
          <w:szCs w:val="20"/>
        </w:rPr>
        <w:t xml:space="preserve"> </w:t>
      </w:r>
      <w:r>
        <w:rPr>
          <w:sz w:val="20"/>
          <w:szCs w:val="20"/>
        </w:rPr>
        <w:t>Fonte: elaboraç</w:t>
      </w:r>
      <w:r>
        <w:rPr>
          <w:rFonts w:eastAsia="Times New Roman" w:cs="Times New Roman"/>
          <w:color w:val="auto"/>
          <w:kern w:val="0"/>
          <w:sz w:val="20"/>
          <w:szCs w:val="20"/>
          <w:lang w:val="pt-BR" w:eastAsia="pt-BR" w:bidi="ar-SA"/>
        </w:rPr>
        <w:t xml:space="preserve">ão e cálculo do autor (2023)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hanging="0"/>
        <w:jc w:val="center"/>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3028950" cy="695325"/>
            <wp:effectExtent l="0" t="0" r="0" b="0"/>
            <wp:wrapSquare wrapText="largest"/>
            <wp:docPr id="22"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6" descr=""/>
                    <pic:cNvPicPr>
                      <a:picLocks noChangeAspect="1" noChangeArrowheads="1"/>
                    </pic:cNvPicPr>
                  </pic:nvPicPr>
                  <pic:blipFill>
                    <a:blip r:embed="rId24"/>
                    <a:stretch>
                      <a:fillRect/>
                    </a:stretch>
                  </pic:blipFill>
                  <pic:spPr bwMode="auto">
                    <a:xfrm>
                      <a:off x="0" y="0"/>
                      <a:ext cx="3028950" cy="695325"/>
                    </a:xfrm>
                    <a:prstGeom prst="rect">
                      <a:avLst/>
                    </a:prstGeom>
                  </pic:spPr>
                </pic:pic>
              </a:graphicData>
            </a:graphic>
          </wp:anchor>
        </w:drawing>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b/>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álculo do autor (2023)</w:t>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Interpretando a tabela 3, pode-se concluir de forma sumarizada que até mesmo em 1% rejeita-se a hipótese nula do teste de Chow, ou seja, encontra-se evidência estatística de quebra estrutural. Em outras palavras: há quebra estrutural nas exportações de café com a implementação da Lei Eusébio de Queiroz. Na tabela 2 de forma menos sumarizada, pode-se observar os resultados para os modelos em cada subperíodo: (1) modelo completo; (2) período de 1821 a 1850; (3) período de 1851 a 1900. Como esperado, todos os parâmetros são diferentes. Aliás, no modelo (2) o preço médio do café retornou aproximadamente -0.87 e, no modelo (3), retornou aproximadamente 0.65, isto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a variaç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de 1%, em m</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édia, no preço médio do café reduzi em -0.87% as exportações de 1821 a 1850; por outro lado, de 1851 a 1900, aumenta em 0.65%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Por sua vez, no modelo completo (1), encontra-se uma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positiva: a variação de 1%, em média, no preço do café aumenta em 0.74% as exportações de café. Ou seja, uma relação positiva como manda a teoria de demanda e oferta: maior o preço, maior a oferta. Interpretando a variável que representa o bem substituto da pauta de exportação, as exportações de açúcar, nota-se que os parâmetros continuaram positivos nos três modelos, porém com grande discrepância entre os modelos (2) e (3): passando de aproximadamente 1.8% para 0.07%  – aliás, sem significância no modelo (3), isto é, no período de 1851 a 1900. </w:t>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há significância estatística em explicar as exportações de café apenas as exportações de açúcar do modelo (3). E retornando estatística F significante nos três períodos e R² ajustado médio e alto. </w:t>
      </w:r>
    </w:p>
    <w:p>
      <w:pPr>
        <w:pStyle w:val="Normal"/>
        <w:widowControl/>
        <w:suppressAutoHyphens w:val="true"/>
        <w:overflowPunct w:val="false"/>
        <w:bidi w:val="0"/>
        <w:spacing w:lineRule="auto" w:line="36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850"/>
        <w:jc w:val="both"/>
        <w:rPr>
          <w:rFonts w:ascii="Times New Roman" w:hAnsi="Times New Roman"/>
        </w:rPr>
      </w:pPr>
      <w:r>
        <w:rPr>
          <w:rFonts w:eastAsia="Times New Roman" w:cs="Times New Roman" w:ascii="Times New Roman" w:hAnsi="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Não obstante, como mencionando na secção 4.3, descrevendo os pressupostos do teste de Chow, o teste é válida estatisticamente se, e somente se, respeitar determinados pressupostos. Assim, na próxima secção busca-se aplicar diversos testes para validação dos resultados.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ascii="Times New Roman" w:hAnsi="Times New Roman"/>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rPr>
      </w:pPr>
      <w:r>
        <w:rPr>
          <w:rFonts w:ascii="Times New Roman" w:hAnsi="Times New Roman"/>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ascii="Times New Roman" w:hAnsi="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ascii="Times New Roman" w:hAnsi="Times New Roman"/>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rPr>
      </w:pPr>
      <w:r>
        <w:rPr>
          <w:rFonts w:ascii="Times New Roman" w:hAnsi="Times New Roman"/>
          <w:b/>
          <w:bCs/>
          <w:i w:val="false"/>
          <w:caps w:val="false"/>
          <w:smallCaps w:val="false"/>
          <w:strike w:val="false"/>
          <w:dstrike w:val="false"/>
          <w:color w:val="000000"/>
          <w:position w:val="0"/>
          <w:sz w:val="24"/>
          <w:sz w:val="24"/>
          <w:szCs w:val="24"/>
          <w:highlight w:val="white"/>
          <w:u w:val="none"/>
          <w:effect w:val="none"/>
          <w:vertAlign w:val="baseline"/>
        </w:rPr>
        <w:tab/>
      </w:r>
      <w:r>
        <w:rPr>
          <w:rFonts w:ascii="Times New Roman" w:hAnsi="Times New Roman"/>
          <w:b w:val="false"/>
          <w:bCs w:val="false"/>
          <w:i w:val="false"/>
          <w:caps w:val="false"/>
          <w:smallCaps w:val="false"/>
          <w:strike w:val="false"/>
          <w:dstrike w:val="false"/>
          <w:color w:val="000000"/>
          <w:position w:val="0"/>
          <w:sz w:val="24"/>
          <w:sz w:val="24"/>
          <w:szCs w:val="24"/>
          <w:highlight w:val="white"/>
          <w:u w:val="none"/>
          <w:effect w:val="none"/>
          <w:vertAlign w:val="baseline"/>
        </w:rPr>
        <w:t>O pressuposto primordial que o teste de Chow precisa obedecer para uma infer</w:t>
      </w:r>
      <w:r>
        <w:rPr>
          <w:rFonts w:eastAsia="Times New Roman" w:cs="Times New Roman" w:ascii="Times New Roman" w:hAnsi="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ência robusta é necessariamente a distribuição Gaussiana e homocedasticidade dos resíduos. Em segundo, distribuição independente.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1-A. </w:t>
      </w:r>
      <w:r>
        <w:rPr>
          <w:rFonts w:ascii="Abyssinica SIL" w:hAnsi="Abyssinica SIL"/>
          <w:b w:val="false"/>
          <w:bCs w:val="false"/>
          <w:i w:val="false"/>
          <w:caps w:val="false"/>
          <w:smallCaps w:val="false"/>
          <w:strike w:val="false"/>
          <w:dstrike w:val="false"/>
          <w:color w:val="000000"/>
          <w:position w:val="0"/>
          <w:sz w:val="22"/>
          <w:sz w:val="22"/>
          <w:szCs w:val="22"/>
          <w:highlight w:val="white"/>
          <w:u w:val="none"/>
          <w:effect w:val="none"/>
          <w:vertAlign w:val="baseline"/>
        </w:rPr>
        <w:t>Boutique de la rue Val-Longo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0"/>
          <w:sz w:val="20"/>
          <w:szCs w:val="20"/>
          <w:highlight w:val="white"/>
          <w:u w:val="none"/>
          <w:effect w:val="none"/>
          <w:vertAlign w:val="baseline"/>
        </w:rPr>
      </w:pPr>
      <w:r>
        <w:rPr>
          <w:b w:val="false"/>
          <w:bCs w:val="false"/>
          <w:i w:val="false"/>
          <w:caps w:val="false"/>
          <w:smallCaps w:val="false"/>
          <w:strike w:val="false"/>
          <w:dstrike w:val="false"/>
          <w:color w:val="000000"/>
          <w:position w:val="0"/>
          <w:sz w:val="20"/>
          <w:sz w:val="20"/>
          <w:szCs w:val="20"/>
          <w:highlight w:val="white"/>
          <w:u w:val="none"/>
          <w:effect w:val="none"/>
          <w:vertAlign w:val="baseline"/>
        </w:rPr>
        <w:drawing>
          <wp:anchor behindDoc="0" distT="0" distB="0" distL="0" distR="0" simplePos="0" locked="0" layoutInCell="0" allowOverlap="1" relativeHeight="20">
            <wp:simplePos x="0" y="0"/>
            <wp:positionH relativeFrom="column">
              <wp:posOffset>0</wp:posOffset>
            </wp:positionH>
            <wp:positionV relativeFrom="paragraph">
              <wp:posOffset>101600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5"/>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pPr>
      <w:r>
        <w:rPr>
          <w:rFonts w:ascii="Abyssinica SIL" w:hAnsi="Abyssinica SIL"/>
          <w:b w:val="false"/>
          <w:bCs w:val="false"/>
          <w:i w:val="false"/>
          <w:caps w:val="false"/>
          <w:smallCaps w:val="false"/>
          <w:strike w:val="false"/>
          <w:dstrike w:val="false"/>
          <w:color w:val="000000"/>
          <w:position w:val="0"/>
          <w:sz w:val="22"/>
          <w:sz w:val="22"/>
          <w:szCs w:val="22"/>
          <w:highlight w:val="white"/>
          <w:u w:val="none"/>
          <w:effect w:val="none"/>
          <w:vertAlign w:val="baseline"/>
        </w:rPr>
        <w:t xml:space="preserve">Nota: Boutique de la rue Val-Longo, Debret, de 1835. </w:t>
      </w:r>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Na </w:t>
      </w:r>
      <w:hyperlink r:id="rId26">
        <w:r>
          <w:rPr>
            <w:rStyle w:val="LinkdaInternet"/>
            <w:rFonts w:eastAsia="Times New Roman" w:cs="Times New Roman" w:ascii="Abyssinica SIL" w:hAnsi="Abyssinica SIL"/>
            <w:i w:val="false"/>
            <w:caps w:val="false"/>
            <w:smallCaps w:val="false"/>
            <w:strike w:val="false"/>
            <w:dstrike w:val="false"/>
            <w:color w:val="000000"/>
            <w:kern w:val="0"/>
            <w:position w:val="0"/>
            <w:sz w:val="22"/>
            <w:sz w:val="22"/>
            <w:szCs w:val="22"/>
            <w:highlight w:val="white"/>
            <w:u w:val="none"/>
            <w:effect w:val="none"/>
            <w:vertAlign w:val="baseline"/>
            <w:lang w:val="pt-BR" w:eastAsia="pt-BR" w:bidi="ar-SA"/>
          </w:rPr>
          <w:t>cidade do Rio de Janeiro</w:t>
        </w:r>
      </w:hyperlink>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 era na rua do Valongo que se encontrava o mercado de negros, verdadeiro entreposto onde eram guardados os escravos chegados da </w:t>
      </w:r>
      <w:hyperlink r:id="rId27">
        <w:r>
          <w:rPr>
            <w:rStyle w:val="LinkdaInternet"/>
            <w:rFonts w:eastAsia="Times New Roman" w:cs="Times New Roman" w:ascii="Abyssinica SIL" w:hAnsi="Abyssinica SIL"/>
            <w:i w:val="false"/>
            <w:caps w:val="false"/>
            <w:smallCaps w:val="false"/>
            <w:strike w:val="false"/>
            <w:dstrike w:val="false"/>
            <w:color w:val="000000"/>
            <w:kern w:val="0"/>
            <w:position w:val="0"/>
            <w:sz w:val="22"/>
            <w:sz w:val="22"/>
            <w:szCs w:val="22"/>
            <w:highlight w:val="white"/>
            <w:u w:val="none"/>
            <w:effect w:val="none"/>
            <w:vertAlign w:val="baseline"/>
            <w:lang w:val="pt-BR" w:eastAsia="pt-BR" w:bidi="ar-SA"/>
          </w:rPr>
          <w:t>África</w:t>
        </w:r>
      </w:hyperlink>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w:t>
      </w:r>
    </w:p>
    <w:p>
      <w:pPr>
        <w:pStyle w:val="Normal"/>
        <w:ind w:left="0" w:right="0" w:hanging="0"/>
        <w:jc w:val="both"/>
        <w:rPr>
          <w:rFonts w:ascii="Abyssinica SIL" w:hAnsi="Abyssinica SIL"/>
          <w:sz w:val="22"/>
          <w:szCs w:val="22"/>
        </w:rPr>
      </w:pPr>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 xml:space="preserve">Fonte: Google Arts &amp; Culture, acessado em 25 de março de 2023: https://artsandculture.google.com/asset/shop-in-valongo-s-street/jwFN15cEX9bt-Q?hl=pt-br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1-B. Validação – modelo completo (1821 – 1900) </w:t>
      </w:r>
    </w:p>
    <w:p>
      <w:pPr>
        <w:pStyle w:val="Normal"/>
        <w:ind w:left="0" w:right="0" w:hanging="0"/>
        <w:jc w:val="both"/>
        <w:rPr>
          <w:i w:val="false"/>
          <w:i w:val="false"/>
          <w:caps w:val="false"/>
          <w:smallCaps w:val="false"/>
          <w:strike w:val="false"/>
          <w:dstrike w:val="false"/>
          <w:color w:val="000000"/>
          <w:position w:val="0"/>
          <w:sz w:val="24"/>
          <w:sz w:val="24"/>
          <w:szCs w:val="24"/>
          <w:highlight w:val="white"/>
          <w:u w:val="none"/>
          <w:effect w:val="none"/>
          <w:vertAlign w:val="baseline"/>
        </w:rPr>
      </w:pPr>
      <w:r>
        <w:rPr>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8"/>
                    <a:stretch>
                      <a:fillRect/>
                    </a:stretch>
                  </pic:blipFill>
                  <pic:spPr bwMode="auto">
                    <a:xfrm>
                      <a:off x="0" y="0"/>
                      <a:ext cx="5760085" cy="5760085"/>
                    </a:xfrm>
                    <a:prstGeom prst="rect">
                      <a:avLst/>
                    </a:prstGeom>
                  </pic:spPr>
                </pic:pic>
              </a:graphicData>
            </a:graphic>
          </wp:anchor>
        </w:drawing>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ão e cálculo do autor (2023).</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1-C. Validação  – modelo (1821 – 1850)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0"/>
          <w:sz w:val="20"/>
          <w:szCs w:val="20"/>
          <w:highlight w:val="white"/>
          <w:u w:val="none"/>
          <w:effect w:val="none"/>
          <w:vertAlign w:val="baseline"/>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9"/>
                    <a:stretch>
                      <a:fillRect/>
                    </a:stretch>
                  </pic:blipFill>
                  <pic:spPr bwMode="auto">
                    <a:xfrm>
                      <a:off x="0" y="0"/>
                      <a:ext cx="5760085" cy="5760085"/>
                    </a:xfrm>
                    <a:prstGeom prst="rect">
                      <a:avLst/>
                    </a:prstGeom>
                  </pic:spPr>
                </pic:pic>
              </a:graphicData>
            </a:graphic>
          </wp:anchor>
        </w:drawing>
      </w:r>
      <w:r>
        <w:rPr>
          <w:b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álculo do autor (2023)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modelo (1851 - 1900) </w:t>
      </w:r>
    </w:p>
    <w:p>
      <w:pPr>
        <w:pStyle w:val="Normal"/>
        <w:ind w:left="0" w:right="0" w:hanging="0"/>
        <w:jc w:val="both"/>
        <w:rPr>
          <w:rFonts w:eastAsia="Times New Roman" w:cs="Times New Roman"/>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085" cy="5760085"/>
            <wp:effectExtent l="0" t="0" r="0" b="0"/>
            <wp:wrapSquare wrapText="largest"/>
            <wp:docPr id="26"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0" descr=""/>
                    <pic:cNvPicPr>
                      <a:picLocks noChangeAspect="1" noChangeArrowheads="1"/>
                    </pic:cNvPicPr>
                  </pic:nvPicPr>
                  <pic:blipFill>
                    <a:blip r:embed="rId30"/>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Correlação de Pearson entre as variáveis do modelo </w:t>
      </w:r>
    </w:p>
    <w:p>
      <w:pPr>
        <w:pStyle w:val="Normal"/>
        <w:spacing w:lineRule="auto" w:line="360"/>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085" cy="5760085"/>
            <wp:effectExtent l="0" t="0" r="0" b="0"/>
            <wp:wrapSquare wrapText="largest"/>
            <wp:docPr id="27"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3" descr=""/>
                    <pic:cNvPicPr>
                      <a:picLocks noChangeAspect="1" noChangeArrowheads="1"/>
                    </pic:cNvPicPr>
                  </pic:nvPicPr>
                  <pic:blipFill>
                    <a:blip r:embed="rId31"/>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TextBody"/>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32">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33">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4"/>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Arial">
    <w:charset w:val="01"/>
    <w:family w:val="roman"/>
    <w:pitch w:val="variable"/>
  </w:font>
  <w:font w:name="Times new Roman ">
    <w:charset w:val="01"/>
    <w:family w:val="roman"/>
    <w:pitch w:val="default"/>
  </w:font>
  <w:font w:name="Times new Roman">
    <w:charset w:val="01"/>
    <w:family w:val="roman"/>
    <w:pitch w:val="default"/>
  </w:font>
  <w:font w:name="arial">
    <w:altName w:val="sans-serif"/>
    <w:charset w:val="01"/>
    <w:family w:val="roman"/>
    <w:pitch w:val="variable"/>
  </w:font>
  <w:font w:name="Times New Roman">
    <w:charset w:val="01"/>
    <w:family w:val="roman"/>
    <w:pitch w:val="default"/>
  </w:font>
  <w:font w:name="Abyssinica SI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rPr/>
      </w:pPr>
      <w:r>
        <w:rPr>
          <w:rStyle w:val="FootnoteCharacters"/>
        </w:rPr>
        <w:footnoteRef/>
      </w:r>
      <w:r>
        <w:rPr/>
        <w:tab/>
        <w:t xml:space="preserve">Entende-se “historiografia clássica” ou “historiadores tradicionalistas” como a parcela da historiografia que não utiliza métodos quantitativos em suas inferências e/ou reconstruções históricas. </w:t>
      </w:r>
    </w:p>
    <w:p>
      <w:pPr>
        <w:pStyle w:val="Footnote"/>
        <w:rPr/>
      </w:pPr>
      <w:r>
        <w:rPr/>
      </w:r>
    </w:p>
  </w:footnote>
  <w:footnote w:id="3">
    <w:p>
      <w:pPr>
        <w:pStyle w:val="Footnote"/>
        <w:jc w:val="both"/>
        <w:rPr/>
      </w:pPr>
      <w:r>
        <w:rPr>
          <w:rStyle w:val="FootnoteCharacters"/>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Footnote"/>
        <w:rPr/>
      </w:pPr>
      <w:r>
        <w:rPr/>
      </w:r>
    </w:p>
    <w:p>
      <w:pPr>
        <w:pStyle w:val="Footnote"/>
        <w:rPr/>
      </w:pPr>
      <w:r>
        <w:rPr/>
      </w:r>
    </w:p>
  </w:footnote>
  <w:footnote w:id="4">
    <w:p>
      <w:pPr>
        <w:pStyle w:val="Footnote"/>
        <w:rPr/>
      </w:pPr>
      <w:r>
        <w:rPr>
          <w:rStyle w:val="FootnoteCharacters"/>
        </w:rPr>
        <w:footnoteRef/>
      </w:r>
      <w:r>
        <w:rPr/>
        <w:tab/>
        <w:t xml:space="preserve">Ver Furtado (2007)· </w:t>
      </w:r>
    </w:p>
  </w:footnote>
  <w:footnote w:id="5">
    <w:p>
      <w:pPr>
        <w:pStyle w:val="Footnote"/>
        <w:jc w:val="both"/>
        <w:rPr/>
      </w:pPr>
      <w:r>
        <w:rPr>
          <w:rStyle w:val="FootnoteCharacters"/>
        </w:rPr>
        <w:footnoteRef/>
      </w:r>
      <w:r>
        <w:rPr/>
        <w:tab/>
        <w:t xml:space="preserve">De acordo com o The Trans-Atlantic Slave Trade Database. </w:t>
      </w:r>
    </w:p>
  </w:footnote>
  <w:footnote w:id="6">
    <w:p>
      <w:pPr>
        <w:pStyle w:val="Footnote"/>
        <w:rPr/>
      </w:pPr>
      <w:r>
        <w:rPr>
          <w:rStyle w:val="FootnoteCharacters"/>
        </w:rPr>
        <w:footnoteRef/>
      </w:r>
      <w:r>
        <w:rPr/>
        <w:tab/>
        <w:t xml:space="preserve">Ver, Klein (1987). </w:t>
      </w:r>
    </w:p>
  </w:footnote>
  <w:footnote w:id="7">
    <w:p>
      <w:pPr>
        <w:pStyle w:val="Footnote"/>
        <w:rPr/>
      </w:pPr>
      <w:r>
        <w:rPr>
          <w:rStyle w:val="FootnoteCharacters"/>
        </w:rPr>
        <w:footnoteRef/>
      </w:r>
      <w:r>
        <w:rPr/>
        <w:tab/>
        <w:t xml:space="preserve">Para uma discussão mais abrangente sobre os desdobramentos políticos e sociais até a abolição, ver Costa (2008). </w:t>
      </w:r>
    </w:p>
  </w:footnote>
  <w:footnote w:id="8">
    <w:p>
      <w:pPr>
        <w:pStyle w:val="Footnote"/>
        <w:jc w:val="both"/>
        <w:rPr/>
      </w:pPr>
      <w:r>
        <w:rPr>
          <w:rStyle w:val="FootnoteCharacters"/>
        </w:rPr>
        <w:footnoteRef/>
      </w:r>
      <w:r>
        <w:rPr/>
        <w:tab/>
        <w:t>Ver ap</w:t>
      </w:r>
      <w:r>
        <w:rPr>
          <w:rFonts w:eastAsia="Times New Roman" w:cs="Times New Roman"/>
          <w:color w:val="auto"/>
          <w:kern w:val="0"/>
          <w:sz w:val="20"/>
          <w:szCs w:val="20"/>
          <w:lang w:val="pt-BR" w:eastAsia="pt-BR" w:bidi="ar-SA"/>
        </w:rPr>
        <w:t>êndice</w:t>
      </w:r>
      <w:r>
        <w:rPr/>
        <w:t xml:space="preserve"> 1-A para visualizar a pintura de Debret, </w:t>
      </w:r>
      <w:r>
        <w:rPr>
          <w:i/>
          <w:iCs/>
        </w:rPr>
        <w:t>Boutique de la rue du Val-Longo</w:t>
      </w:r>
      <w:r>
        <w:rPr/>
        <w:t xml:space="preserve">, representando o mercado de escravos da rua do Valongo no Rio de Janeiro. </w:t>
      </w:r>
    </w:p>
  </w:footnote>
  <w:footnote w:id="9">
    <w:p>
      <w:pPr>
        <w:pStyle w:val="Footnote"/>
        <w:jc w:val="both"/>
        <w:rPr/>
      </w:pPr>
      <w:r>
        <w:rPr>
          <w:rStyle w:val="FootnoteCharacters"/>
        </w:rPr>
        <w:footnoteRef/>
      </w:r>
      <w:r>
        <w:rPr/>
        <w:tab/>
        <w:t xml:space="preserve">Para mais detalhes sobre instituições extrativistas e inclusivas, ver Acemoglu &amp; Robinson (2012) e Acemoglu et. al (2001). </w:t>
      </w:r>
    </w:p>
    <w:p>
      <w:pPr>
        <w:pStyle w:val="Footnote"/>
        <w:jc w:val="both"/>
        <w:rPr/>
      </w:pPr>
      <w:r>
        <w:rPr/>
      </w:r>
    </w:p>
  </w:footnote>
  <w:footnote w:id="10">
    <w:p>
      <w:pPr>
        <w:pStyle w:val="Footnote"/>
        <w:jc w:val="both"/>
        <w:rPr/>
      </w:pPr>
      <w:r>
        <w:rPr>
          <w:rStyle w:val="FootnoteCharacters"/>
        </w:rPr>
        <w:footnoteRef/>
      </w:r>
      <w:r>
        <w:rPr/>
        <w:tab/>
        <w:t>Monasterio (2005), refere-se a produção de charque no Rio Grande do Sul. Aqui generaliza a ideia para toda utilização de mão de obra escrava no período em estudo.</w:t>
      </w:r>
    </w:p>
    <w:p>
      <w:pPr>
        <w:pStyle w:val="Footnote"/>
        <w:jc w:val="both"/>
        <w:rPr/>
      </w:pPr>
      <w:r>
        <w:rPr/>
      </w:r>
    </w:p>
  </w:footnote>
  <w:footnote w:id="11">
    <w:p>
      <w:pPr>
        <w:pStyle w:val="Footnote"/>
        <w:jc w:val="both"/>
        <w:rPr/>
      </w:pPr>
      <w:r>
        <w:rPr>
          <w:rStyle w:val="FootnoteCharacters"/>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Footnote"/>
        <w:ind w:left="0" w:right="0" w:hanging="0"/>
        <w:jc w:val="both"/>
        <w:rPr/>
      </w:pPr>
      <w:r>
        <w:rPr/>
      </w:r>
    </w:p>
  </w:footnote>
  <w:footnote w:id="12">
    <w:p>
      <w:pPr>
        <w:pStyle w:val="Footnote"/>
        <w:jc w:val="both"/>
        <w:rPr/>
      </w:pPr>
      <w:r>
        <w:rPr>
          <w:rStyle w:val="FootnoteCharacters"/>
        </w:rPr>
        <w:footnoteRef/>
      </w:r>
      <w:r>
        <w:rPr/>
        <w:tab/>
        <w:t xml:space="preserve">Sobre a importância da imigração para a construção histórica e social do Brasil, ver Monasterio &amp; Lopes (2018). </w:t>
      </w:r>
    </w:p>
  </w:footnote>
  <w:footnote w:id="13">
    <w:p>
      <w:pPr>
        <w:pStyle w:val="Footnote"/>
        <w:jc w:val="both"/>
        <w:rPr/>
      </w:pPr>
      <w:r>
        <w:rPr>
          <w:rStyle w:val="FootnoteCharacters"/>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Footnote"/>
        <w:rPr>
          <w:b w:val="false"/>
          <w:b w:val="false"/>
          <w:i w:val="false"/>
          <w:i w:val="false"/>
          <w:caps w:val="false"/>
          <w:smallCaps w:val="false"/>
          <w:strike w:val="false"/>
          <w:dstrike w:val="false"/>
          <w:color w:val="000000"/>
          <w:sz w:val="20"/>
          <w:szCs w:val="20"/>
          <w:highlight w:val="white"/>
          <w:u w:val="none"/>
          <w:effect w:val="none"/>
        </w:rPr>
      </w:pPr>
      <w:r>
        <w:rPr>
          <w:rStyle w:val="FootnoteCharacters"/>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Footnote"/>
        <w:rPr/>
      </w:pPr>
      <w:r>
        <w:rPr/>
      </w:r>
    </w:p>
  </w:footnote>
  <w:footnote w:id="15">
    <w:p>
      <w:pPr>
        <w:pStyle w:val="Footnote"/>
        <w:jc w:val="both"/>
        <w:rPr/>
      </w:pPr>
      <w:r>
        <w:rPr>
          <w:rStyle w:val="FootnoteCharacters"/>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Footnote"/>
        <w:jc w:val="both"/>
        <w:rPr/>
      </w:pPr>
      <w:r>
        <w:rPr/>
      </w:r>
    </w:p>
  </w:footnote>
  <w:footnote w:id="16">
    <w:p>
      <w:pPr>
        <w:pStyle w:val="Footnote"/>
        <w:jc w:val="both"/>
        <w:rPr/>
      </w:pPr>
      <w:r>
        <w:rPr>
          <w:rStyle w:val="FootnoteCharacters"/>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Footnote"/>
        <w:jc w:val="both"/>
        <w:rPr/>
      </w:pPr>
      <w:r>
        <w:rPr/>
      </w:r>
    </w:p>
  </w:footnote>
  <w:footnote w:id="17">
    <w:p>
      <w:pPr>
        <w:pStyle w:val="Footnote"/>
        <w:rPr/>
      </w:pPr>
      <w:r>
        <w:rPr>
          <w:rStyle w:val="FootnoteCharacters"/>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Footnote"/>
        <w:jc w:val="both"/>
        <w:rPr>
          <w:color w:val="000000"/>
        </w:rPr>
      </w:pPr>
      <w:r>
        <w:rPr>
          <w:rStyle w:val="FootnoteCharacters"/>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Footnote"/>
        <w:jc w:val="both"/>
        <w:rPr/>
      </w:pPr>
      <w:r>
        <w:rPr/>
      </w:r>
    </w:p>
  </w:footnote>
  <w:footnote w:id="19">
    <w:p>
      <w:pPr>
        <w:pStyle w:val="Footnote"/>
        <w:jc w:val="both"/>
        <w:rPr/>
      </w:pPr>
      <w:r>
        <w:rPr>
          <w:rStyle w:val="FootnoteCharacters"/>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20">
    <w:p>
      <w:pPr>
        <w:pStyle w:val="Footnote"/>
        <w:rPr/>
      </w:pPr>
      <w:r>
        <w:rPr>
          <w:rStyle w:val="FootnoteCharacters"/>
        </w:rPr>
        <w:footnoteRef/>
      </w:r>
      <w:r>
        <w:rPr/>
        <w:tab/>
        <w:t xml:space="preserve">Sobre outlier e pontos de alavancagem, ver Bruce &amp; Bruce (2019).  A mediana é uma estratégia empírica adotada para evitar uma posição central puxada por outliers. </w:t>
      </w:r>
    </w:p>
  </w:footnote>
  <w:footnote w:id="21">
    <w:p>
      <w:pPr>
        <w:pStyle w:val="Footnote"/>
        <w:ind w:left="339" w:right="0" w:hanging="0"/>
        <w:rPr/>
      </w:pPr>
      <w:r>
        <w:rPr>
          <w:rStyle w:val="FootnoteCharacters"/>
        </w:rPr>
        <w:footnoteRef/>
      </w:r>
      <w:r>
        <w:rPr/>
        <w:t xml:space="preserve">    </w:t>
      </w:r>
      <w:r>
        <w:rPr/>
        <w:t xml:space="preserve">Ver, Costa (2016). </w:t>
      </w:r>
    </w:p>
  </w:footnote>
  <w:footnote w:id="22">
    <w:p>
      <w:pPr>
        <w:pStyle w:val="Footnote"/>
        <w:rPr/>
      </w:pPr>
      <w:r>
        <w:rPr>
          <w:rStyle w:val="FootnoteCharacters"/>
        </w:rPr>
        <w:footnoteRef/>
      </w:r>
      <w:r>
        <w:rPr/>
        <w:tab/>
        <w:t xml:space="preserve">Observe que os testes convencionais de quebra estruturais apresentados no presente trabalho não buscam inferir as causas das quebras. </w:t>
      </w:r>
    </w:p>
  </w:footnote>
  <w:footnote w:id="23">
    <w:p>
      <w:pPr>
        <w:pStyle w:val="Footnote"/>
        <w:rPr>
          <w:sz w:val="20"/>
          <w:szCs w:val="20"/>
        </w:rPr>
      </w:pPr>
      <w:r>
        <w:rPr>
          <w:rStyle w:val="FootnoteCharacters"/>
        </w:rPr>
        <w:footnoteRef/>
      </w:r>
      <w:r>
        <w:rPr>
          <w:rFonts w:eastAsia="Times New Roman" w:cs="Times New Roman"/>
          <w:b w:val="false"/>
          <w:bCs w:val="false"/>
          <w:color w:val="auto"/>
          <w:kern w:val="0"/>
          <w:sz w:val="20"/>
          <w:szCs w:val="20"/>
          <w:lang w:val="pt-BR" w:eastAsia="pt-BR" w:bidi="ar-SA"/>
        </w:rPr>
        <w:tab/>
        <w:t>Não obstante, é necessário certo cuidado para não ser confundido com casos de processo de memória longa.</w:t>
      </w:r>
    </w:p>
  </w:footnote>
  <w:footnote w:id="24">
    <w:p>
      <w:pPr>
        <w:pStyle w:val="Footnote"/>
        <w:rPr/>
      </w:pPr>
      <w:r>
        <w:rPr>
          <w:rStyle w:val="FootnoteCharacters"/>
        </w:rPr>
        <w:footnoteRef/>
      </w:r>
      <w:r>
        <w:rPr/>
        <w:tab/>
        <w:t xml:space="preserve">Sobre o modelo log-log, ver Gujarati &amp; Porter (2010, p. 176-179). </w:t>
      </w:r>
    </w:p>
  </w:footnote>
  <w:footnote w:id="25">
    <w:p>
      <w:pPr>
        <w:pStyle w:val="Footnote"/>
        <w:rPr/>
      </w:pPr>
      <w:r>
        <w:rPr>
          <w:rStyle w:val="FootnoteCharacters"/>
        </w:rPr>
        <w:footnoteRef/>
      </w:r>
      <w:r>
        <w:rPr/>
        <w:tab/>
        <w:t xml:space="preserve">Para uma ampla revisão bibliográficas referentes aos modelos e exportação, ver Carneiro (2014).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Times new Roman " w:hAnsi="Times new Roman "/>
        <w:b/>
        <w:bCs/>
      </w:rPr>
      <w:t>UNIVERSIDADE ESTADUAL DE GOIÁS CÂMPUS ANÁPOLIS DE CIÊNCIAS SOCIOECONÔMICAS E HUMANAS NELSON DE ABREU JUNIOR</w:t>
    </w:r>
  </w:p>
  <w:p>
    <w:pPr>
      <w:pStyle w:val="Heading1"/>
      <w:ind w:left="0" w:right="0" w:hanging="0"/>
      <w:rPr>
        <w:rFonts w:ascii="Times new Roman " w:hAnsi="Times new Roman "/>
      </w:rPr>
    </w:pPr>
    <w:r>
      <w:rPr>
        <w:rFonts w:ascii="Times new Roman " w:hAnsi="Times new Roman "/>
        <w:bCs/>
        <w:sz w:val="24"/>
      </w:rPr>
      <w:t>CURSO DE CIÊNCIAS ECONÔMICAS</w:t>
    </w:r>
  </w:p>
  <w:p>
    <w:pPr>
      <w:pStyle w:val="Title"/>
      <w:tabs>
        <w:tab w:val="clear" w:pos="720"/>
        <w:tab w:val="center" w:pos="4107" w:leader="none"/>
        <w:tab w:val="left" w:pos="7460" w:leader="none"/>
      </w:tabs>
      <w:rPr>
        <w:rFonts w:ascii="Times new Roman " w:hAnsi="Times new Roman "/>
        <w:b/>
        <w:b/>
        <w:sz w:val="22"/>
      </w:rPr>
    </w:pPr>
    <w:r>
      <w:rPr>
        <w:rFonts w:ascii="Times new Roman " w:hAnsi="Times new Roman "/>
        <w:b/>
        <w:sz w:val="22"/>
      </w:rPr>
    </w:r>
  </w:p>
  <w:p>
    <w:pPr>
      <w:pStyle w:val="Heading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itle"/>
      <w:tabs>
        <w:tab w:val="clear" w:pos="720"/>
        <w:tab w:val="center" w:pos="4107" w:leader="none"/>
        <w:tab w:val="left" w:pos="7460" w:leader="none"/>
      </w:tabs>
      <w:rPr>
        <w:b/>
        <w:b/>
        <w:sz w:val="22"/>
      </w:rPr>
    </w:pPr>
    <w:r>
      <w:rPr>
        <w:b/>
        <w:sz w:val="22"/>
      </w:rPr>
    </w:r>
  </w:p>
  <w:p>
    <w:pPr>
      <w:pStyle w:val="Title"/>
      <w:tabs>
        <w:tab w:val="clear" w:pos="720"/>
        <w:tab w:val="center" w:pos="4107" w:leader="none"/>
        <w:tab w:val="left" w:pos="7460" w:leader="none"/>
      </w:tabs>
      <w:rPr>
        <w:b/>
        <w:b/>
        <w:sz w:val="22"/>
      </w:rPr>
    </w:pPr>
    <w:r>
      <w:rPr>
        <w:b/>
        <w:sz w:val="22"/>
      </w:rPr>
    </w:r>
  </w:p>
  <w:p>
    <w:pPr>
      <w:pStyle w:val="Header"/>
      <w:rPr>
        <w:b/>
        <w:b/>
      </w:rPr>
    </w:pPr>
    <w:r>
      <w:rPr>
        <w:b/>
      </w:rPr>
    </w:r>
  </w:p>
  <w:p>
    <w:pPr>
      <w:pStyle w:val="Header"/>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Heading1">
    <w:name w:val="Heading 1"/>
    <w:basedOn w:val="Normal"/>
    <w:next w:val="Normal"/>
    <w:qFormat/>
    <w:pPr>
      <w:keepNext w:val="true"/>
      <w:jc w:val="center"/>
      <w:outlineLvl w:val="0"/>
    </w:pPr>
    <w:rPr>
      <w:b/>
      <w:sz w:val="28"/>
      <w:szCs w:val="20"/>
    </w:rPr>
  </w:style>
  <w:style w:type="paragraph" w:styleId="Heading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Heading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qForma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qForma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qFormat/>
    <w:rPr>
      <w:vertAlign w:val="superscript"/>
    </w:rPr>
  </w:style>
  <w:style w:type="character" w:styleId="Ncoradanotadefim">
    <w:name w:val="Âncora da nota de fim"/>
    <w:qFormat/>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character" w:styleId="InternetLink">
    <w:name w:val="Hyper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2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tulo">
    <w:name w:val="Título"/>
    <w:basedOn w:val="Normal"/>
    <w:next w:val="TextBody"/>
    <w:qFormat/>
    <w:pPr>
      <w:keepNext w:val="true"/>
      <w:spacing w:before="240" w:after="120"/>
    </w:pPr>
    <w:rPr>
      <w:rFonts w:ascii="Liberation Sans" w:hAnsi="Liberation Sans" w:eastAsia="Noto Sans CJK SC" w:cs="Lohit Devanagari"/>
      <w:sz w:val="28"/>
      <w:szCs w:val="28"/>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HeaderandFooter">
    <w:name w:val="Header and Footer"/>
    <w:basedOn w:val="Normal"/>
    <w:qFormat/>
    <w:pPr/>
    <w:rPr/>
  </w:style>
  <w:style w:type="paragraph" w:styleId="Header">
    <w:name w:val="Header"/>
    <w:basedOn w:val="Normal"/>
    <w:pPr>
      <w:tabs>
        <w:tab w:val="clear" w:pos="720"/>
        <w:tab w:val="center" w:pos="4419" w:leader="none"/>
        <w:tab w:val="right" w:pos="8838" w:leader="none"/>
      </w:tabs>
    </w:pPr>
    <w:rPr>
      <w:sz w:val="20"/>
      <w:szCs w:val="20"/>
    </w:rPr>
  </w:style>
  <w:style w:type="paragraph" w:styleId="Title">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itle">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Footer">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fals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fals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Footnote">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hyperlink" Target="https://artsandculture.google.com/entity/m06gmr" TargetMode="External"/><Relationship Id="rId27" Type="http://schemas.openxmlformats.org/officeDocument/2006/relationships/hyperlink" Target="https://artsandculture.google.com/entity/m0dg3n1" TargetMode="External"/><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hyperlink" Target="https://goo.gl/M2YGtV" TargetMode="External"/><Relationship Id="rId33" Type="http://schemas.openxmlformats.org/officeDocument/2006/relationships/hyperlink" Target="https://repositorio.ufjf.br/jspui/handle/ufjf/3276" TargetMode="External"/><Relationship Id="rId34" Type="http://schemas.openxmlformats.org/officeDocument/2006/relationships/header" Target="header3.xml"/><Relationship Id="rId35" Type="http://schemas.openxmlformats.org/officeDocument/2006/relationships/footnotes" Target="footnotes.xml"/><Relationship Id="rId36" Type="http://schemas.openxmlformats.org/officeDocument/2006/relationships/fontTable" Target="fontTable.xml"/><Relationship Id="rId37"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4699</TotalTime>
  <Application>LibreOffice/7.3.7.2$Linux_X86_64 LibreOffice_project/30$Build-2</Application>
  <AppVersion>15.0000</AppVersion>
  <Pages>43</Pages>
  <Words>7371</Words>
  <Characters>40053</Characters>
  <CharactersWithSpaces>47778</CharactersWithSpaces>
  <Paragraphs>219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2023-04-17T22:42:10Z</dcterms:modified>
  <cp:revision>164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